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b/>
          <w:color w:val="auto"/>
          <w:sz w:val="24"/>
          <w:szCs w:val="24"/>
        </w:rPr>
      </w:pPr>
      <w:r>
        <w:rPr>
          <w:color w:val="auto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2701900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color w:val="auto"/>
          <w:sz w:val="24"/>
          <w:szCs w:val="24"/>
        </w:rPr>
      </w:r>
      <w:r>
        <w:rPr>
          <w:b/>
          <w:color w:val="auto"/>
          <w:sz w:val="24"/>
          <w:szCs w:val="24"/>
        </w:rPr>
      </w:r>
    </w:p>
    <w:p>
      <w:pPr>
        <w:jc w:val="center"/>
        <w:widowControl w:val="off"/>
        <w:rPr>
          <w:b/>
          <w:color w:val="auto"/>
          <w:sz w:val="28"/>
        </w:rPr>
      </w:pPr>
      <w:r>
        <w:rPr>
          <w:b/>
          <w:color w:val="auto"/>
          <w:sz w:val="28"/>
        </w:rPr>
      </w:r>
      <w:r>
        <w:rPr>
          <w:b/>
          <w:color w:val="auto"/>
          <w:sz w:val="28"/>
        </w:rPr>
      </w:r>
      <w:r>
        <w:rPr>
          <w:b/>
          <w:color w:val="auto"/>
          <w:sz w:val="28"/>
        </w:rPr>
      </w:r>
    </w:p>
    <w:p>
      <w:pPr>
        <w:jc w:val="center"/>
        <w:widowControl w:val="off"/>
        <w:rPr>
          <w:b/>
          <w:color w:val="auto"/>
          <w:sz w:val="28"/>
        </w:rPr>
      </w:pPr>
      <w:r>
        <w:rPr>
          <w:b/>
          <w:color w:val="auto"/>
          <w:sz w:val="28"/>
        </w:rPr>
      </w:r>
      <w:r>
        <w:rPr>
          <w:b/>
          <w:color w:val="auto"/>
          <w:sz w:val="28"/>
        </w:rPr>
      </w:r>
      <w:r>
        <w:rPr>
          <w:b/>
          <w:color w:val="auto"/>
          <w:sz w:val="28"/>
        </w:rPr>
      </w:r>
    </w:p>
    <w:p>
      <w:pPr>
        <w:jc w:val="center"/>
        <w:widowControl w:val="off"/>
        <w:rPr>
          <w:b/>
          <w:color w:val="auto"/>
          <w:sz w:val="28"/>
        </w:rPr>
      </w:pPr>
      <w:r>
        <w:rPr>
          <w:b/>
          <w:color w:val="auto"/>
          <w:sz w:val="28"/>
        </w:rPr>
      </w:r>
      <w:r>
        <w:rPr>
          <w:b/>
          <w:color w:val="auto"/>
          <w:sz w:val="28"/>
        </w:rPr>
      </w:r>
      <w:r>
        <w:rPr>
          <w:b/>
          <w:color w:val="auto"/>
          <w:sz w:val="28"/>
        </w:rPr>
      </w:r>
    </w:p>
    <w:p>
      <w:pPr>
        <w:jc w:val="center"/>
        <w:widowControl w:val="off"/>
        <w:rPr>
          <w:b/>
          <w:color w:val="auto"/>
          <w:sz w:val="28"/>
        </w:rPr>
      </w:pPr>
      <w:r>
        <w:rPr>
          <w:b/>
          <w:color w:val="auto"/>
          <w:sz w:val="28"/>
        </w:rPr>
      </w:r>
      <w:r>
        <w:rPr>
          <w:b/>
          <w:color w:val="auto"/>
          <w:sz w:val="28"/>
        </w:rPr>
      </w:r>
      <w:r>
        <w:rPr>
          <w:b/>
          <w:color w:val="auto"/>
          <w:sz w:val="28"/>
        </w:rPr>
      </w:r>
    </w:p>
    <w:p>
      <w:pPr>
        <w:jc w:val="center"/>
        <w:widowControl w:val="off"/>
        <w:rPr>
          <w:b/>
          <w:color w:val="auto"/>
          <w:sz w:val="44"/>
          <w:szCs w:val="44"/>
        </w:rPr>
      </w:pPr>
      <w:r>
        <w:rPr>
          <w:b/>
          <w:color w:val="auto"/>
          <w:sz w:val="44"/>
          <w:szCs w:val="44"/>
        </w:rPr>
        <w:t xml:space="preserve">АДМИНИСТРАЦИЯ </w:t>
      </w:r>
      <w:r>
        <w:rPr>
          <w:b/>
          <w:color w:val="auto"/>
          <w:sz w:val="44"/>
          <w:szCs w:val="44"/>
        </w:rPr>
      </w:r>
      <w:r>
        <w:rPr>
          <w:b/>
          <w:color w:val="auto"/>
          <w:sz w:val="44"/>
          <w:szCs w:val="44"/>
        </w:rPr>
      </w:r>
    </w:p>
    <w:p>
      <w:pPr>
        <w:jc w:val="center"/>
        <w:widowControl w:val="off"/>
        <w:rPr>
          <w:b/>
          <w:color w:val="auto"/>
          <w:sz w:val="28"/>
        </w:rPr>
      </w:pPr>
      <w:r>
        <w:rPr>
          <w:b/>
          <w:color w:val="auto"/>
          <w:sz w:val="28"/>
        </w:rPr>
        <w:t xml:space="preserve">ПЕЧЕНГСКОГО МУНИЦИПАЛЬНОГО ОКРУГА</w:t>
      </w:r>
      <w:r>
        <w:rPr>
          <w:b/>
          <w:color w:val="auto"/>
          <w:sz w:val="28"/>
        </w:rPr>
      </w:r>
      <w:r>
        <w:rPr>
          <w:b/>
          <w:color w:val="auto"/>
          <w:sz w:val="28"/>
        </w:rPr>
      </w:r>
    </w:p>
    <w:p>
      <w:pPr>
        <w:jc w:val="center"/>
        <w:widowControl w:val="off"/>
        <w:rPr>
          <w:b/>
          <w:color w:val="auto"/>
          <w:sz w:val="28"/>
        </w:rPr>
      </w:pPr>
      <w:r>
        <w:rPr>
          <w:b/>
          <w:color w:val="auto"/>
          <w:sz w:val="28"/>
        </w:rPr>
        <w:t xml:space="preserve">МУРМАНСКОЙ ОБЛАСТИ</w:t>
      </w:r>
      <w:r>
        <w:rPr>
          <w:b/>
          <w:color w:val="auto"/>
          <w:sz w:val="28"/>
        </w:rPr>
      </w:r>
      <w:r>
        <w:rPr>
          <w:b/>
          <w:color w:val="auto"/>
          <w:sz w:val="28"/>
        </w:rPr>
      </w:r>
    </w:p>
    <w:p>
      <w:pPr>
        <w:jc w:val="center"/>
        <w:widowControl w:val="off"/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</w:r>
      <w:r>
        <w:rPr>
          <w:b/>
          <w:color w:val="auto"/>
          <w:sz w:val="16"/>
          <w:szCs w:val="16"/>
        </w:rPr>
      </w:r>
      <w:r>
        <w:rPr>
          <w:b/>
          <w:color w:val="auto"/>
          <w:sz w:val="16"/>
          <w:szCs w:val="16"/>
        </w:rPr>
      </w:r>
    </w:p>
    <w:p>
      <w:pPr>
        <w:jc w:val="center"/>
        <w:widowControl w:val="off"/>
        <w:rPr>
          <w:b/>
          <w:color w:val="auto"/>
          <w:sz w:val="44"/>
          <w:szCs w:val="44"/>
        </w:rPr>
      </w:pPr>
      <w:r>
        <w:rPr>
          <w:b/>
          <w:color w:val="auto"/>
          <w:sz w:val="44"/>
          <w:szCs w:val="44"/>
        </w:rPr>
        <w:t xml:space="preserve">ПОСТАНОВЛЕНИЕ</w:t>
      </w:r>
      <w:r>
        <w:rPr>
          <w:b/>
          <w:color w:val="auto"/>
          <w:sz w:val="44"/>
          <w:szCs w:val="44"/>
        </w:rPr>
      </w:r>
      <w:r>
        <w:rPr>
          <w:b/>
          <w:color w:val="auto"/>
          <w:sz w:val="44"/>
          <w:szCs w:val="44"/>
        </w:rPr>
      </w:r>
    </w:p>
    <w:p>
      <w:pPr>
        <w:jc w:val="center"/>
        <w:widowControl w:val="off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</w:r>
      <w:r>
        <w:rPr>
          <w:color w:val="auto"/>
          <w:sz w:val="16"/>
          <w:szCs w:val="16"/>
        </w:rPr>
      </w:r>
      <w:r>
        <w:rPr>
          <w:color w:val="auto"/>
          <w:sz w:val="16"/>
          <w:szCs w:val="16"/>
        </w:rPr>
      </w:r>
    </w:p>
    <w:p>
      <w:pPr>
        <w:jc w:val="center"/>
        <w:widowControl w:val="off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jc w:val="both"/>
        <w:widowControl w:val="off"/>
        <w:rPr>
          <w:b/>
          <w:color w:val="auto"/>
          <w:sz w:val="24"/>
        </w:rPr>
      </w:pPr>
      <w:r>
        <w:rPr>
          <w:b/>
          <w:color w:val="auto"/>
          <w:sz w:val="24"/>
        </w:rPr>
        <w:t xml:space="preserve">от 13.09.2024 </w:t>
      </w:r>
      <w:r>
        <w:rPr>
          <w:b/>
          <w:color w:val="auto"/>
          <w:sz w:val="24"/>
        </w:rPr>
        <w:tab/>
      </w:r>
      <w:r>
        <w:rPr>
          <w:b/>
          <w:color w:val="auto"/>
          <w:sz w:val="24"/>
        </w:rPr>
        <w:tab/>
      </w:r>
      <w:r>
        <w:rPr>
          <w:b/>
          <w:color w:val="auto"/>
          <w:sz w:val="24"/>
        </w:rPr>
        <w:tab/>
      </w:r>
      <w:r>
        <w:rPr>
          <w:b/>
          <w:color w:val="auto"/>
          <w:sz w:val="24"/>
        </w:rPr>
        <w:tab/>
      </w:r>
      <w:r>
        <w:rPr>
          <w:b/>
          <w:color w:val="auto"/>
          <w:sz w:val="24"/>
        </w:rPr>
        <w:tab/>
      </w:r>
      <w:r>
        <w:rPr>
          <w:b/>
          <w:color w:val="auto"/>
          <w:sz w:val="24"/>
        </w:rPr>
        <w:tab/>
      </w:r>
      <w:r>
        <w:rPr>
          <w:b/>
          <w:color w:val="auto"/>
          <w:sz w:val="24"/>
        </w:rPr>
        <w:tab/>
      </w:r>
      <w:r>
        <w:rPr>
          <w:b/>
          <w:color w:val="auto"/>
          <w:sz w:val="24"/>
        </w:rPr>
        <w:tab/>
      </w:r>
      <w:r>
        <w:rPr>
          <w:b/>
          <w:color w:val="auto"/>
          <w:sz w:val="24"/>
        </w:rPr>
        <w:tab/>
      </w:r>
      <w:r>
        <w:rPr>
          <w:b/>
          <w:color w:val="auto"/>
          <w:sz w:val="24"/>
        </w:rPr>
        <w:tab/>
        <w:t xml:space="preserve"> № 1389</w:t>
      </w:r>
      <w:r>
        <w:rPr>
          <w:b/>
          <w:color w:val="auto"/>
          <w:sz w:val="24"/>
        </w:rPr>
      </w:r>
      <w:r>
        <w:rPr>
          <w:b/>
          <w:color w:val="auto"/>
          <w:sz w:val="24"/>
        </w:rPr>
      </w:r>
    </w:p>
    <w:p>
      <w:pPr>
        <w:jc w:val="center"/>
        <w:widowControl w:val="off"/>
        <w:rPr>
          <w:b/>
          <w:color w:val="auto"/>
          <w:sz w:val="28"/>
        </w:rPr>
      </w:pPr>
      <w:r>
        <w:rPr>
          <w:b/>
          <w:color w:val="auto"/>
          <w:sz w:val="24"/>
        </w:rPr>
        <w:t xml:space="preserve">п.г.т. Никель</w:t>
      </w:r>
      <w:r>
        <w:rPr>
          <w:b/>
          <w:color w:val="auto"/>
          <w:sz w:val="28"/>
        </w:rPr>
      </w:r>
      <w:r>
        <w:rPr>
          <w:b/>
          <w:color w:val="auto"/>
          <w:sz w:val="28"/>
        </w:rPr>
      </w:r>
    </w:p>
    <w:p>
      <w:pPr>
        <w:jc w:val="center"/>
        <w:widowControl w:val="off"/>
        <w:rPr>
          <w:b/>
          <w:color w:val="auto"/>
          <w:szCs w:val="16"/>
        </w:rPr>
      </w:pPr>
      <w:r>
        <w:rPr>
          <w:b/>
          <w:color w:val="auto"/>
          <w:szCs w:val="16"/>
        </w:rPr>
      </w:r>
      <w:r>
        <w:rPr>
          <w:b/>
          <w:color w:val="auto"/>
          <w:szCs w:val="16"/>
        </w:rPr>
      </w:r>
      <w:r>
        <w:rPr>
          <w:b/>
          <w:color w:val="auto"/>
          <w:szCs w:val="16"/>
        </w:rPr>
      </w:r>
    </w:p>
    <w:p>
      <w:pPr>
        <w:jc w:val="center"/>
        <w:widowControl w:val="off"/>
        <w:rPr>
          <w:b/>
          <w:color w:val="auto"/>
          <w:szCs w:val="16"/>
        </w:rPr>
      </w:pPr>
      <w:r>
        <w:rPr>
          <w:b/>
          <w:color w:val="auto"/>
          <w:szCs w:val="16"/>
        </w:rPr>
      </w:r>
      <w:r>
        <w:rPr>
          <w:b/>
          <w:color w:val="auto"/>
          <w:szCs w:val="16"/>
        </w:rPr>
      </w:r>
      <w:r>
        <w:rPr>
          <w:b/>
          <w:color w:val="auto"/>
          <w:szCs w:val="16"/>
        </w:rPr>
      </w:r>
    </w:p>
    <w:p>
      <w:pPr>
        <w:jc w:val="center"/>
        <w:widowControl w:val="off"/>
        <w:rPr>
          <w:b/>
          <w:bCs/>
          <w:iCs/>
          <w:color w:val="auto"/>
          <w:szCs w:val="24"/>
        </w:rPr>
      </w:pPr>
      <w:r>
        <w:rPr>
          <w:b/>
          <w:bCs/>
          <w:iCs/>
          <w:color w:val="auto"/>
          <w:szCs w:val="24"/>
        </w:rPr>
        <w:t xml:space="preserve">О внесении изменений в Порядок организации размещения нестационарных</w:t>
      </w:r>
      <w:r>
        <w:rPr>
          <w:b/>
          <w:bCs/>
          <w:iCs/>
          <w:color w:val="auto"/>
          <w:szCs w:val="24"/>
        </w:rPr>
      </w:r>
      <w:r>
        <w:rPr>
          <w:b/>
          <w:bCs/>
          <w:iCs/>
          <w:color w:val="auto"/>
          <w:szCs w:val="24"/>
        </w:rPr>
      </w:r>
    </w:p>
    <w:p>
      <w:pPr>
        <w:jc w:val="center"/>
        <w:widowControl w:val="off"/>
        <w:rPr>
          <w:b/>
          <w:bCs/>
          <w:iCs/>
          <w:color w:val="auto"/>
          <w:szCs w:val="24"/>
        </w:rPr>
      </w:pPr>
      <w:r>
        <w:rPr>
          <w:b/>
          <w:bCs/>
          <w:iCs/>
          <w:color w:val="auto"/>
          <w:szCs w:val="24"/>
        </w:rPr>
        <w:t xml:space="preserve">торговых объектов на территории Печенгского</w:t>
      </w:r>
      <w:r>
        <w:rPr>
          <w:b/>
          <w:bCs/>
          <w:iCs/>
          <w:color w:val="auto"/>
          <w:szCs w:val="24"/>
        </w:rPr>
        <w:t xml:space="preserve"> муниципального округа, утвержденный постановлением администрации Печенгского муниципального округа от 09.04.2021 № 284</w:t>
      </w:r>
      <w:r>
        <w:rPr>
          <w:b/>
          <w:bCs/>
          <w:iCs/>
          <w:color w:val="auto"/>
          <w:szCs w:val="24"/>
        </w:rPr>
      </w:r>
      <w:r>
        <w:rPr>
          <w:b/>
          <w:bCs/>
          <w:iCs/>
          <w:color w:val="auto"/>
          <w:szCs w:val="24"/>
        </w:rPr>
      </w:r>
    </w:p>
    <w:p>
      <w:pPr>
        <w:widowControl w:val="off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widowControl w:val="off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ind w:firstLine="709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color w:val="auto"/>
          <w:sz w:val="24"/>
          <w:szCs w:val="24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</w:t>
      </w:r>
      <w:r>
        <w:rPr>
          <w:color w:val="auto"/>
          <w:sz w:val="24"/>
          <w:szCs w:val="24"/>
        </w:rPr>
        <w:t xml:space="preserve">ии», Уставом Печенгского муниципального округа Мурманской области, в связи с актуализацией правового акта,</w:t>
      </w:r>
      <w:r>
        <w:rPr>
          <w:rFonts w:eastAsiaTheme="minorHAnsi"/>
          <w:color w:val="auto"/>
          <w:sz w:val="24"/>
          <w:szCs w:val="24"/>
          <w:lang w:eastAsia="en-US"/>
        </w:rPr>
      </w:r>
      <w:r>
        <w:rPr>
          <w:rFonts w:eastAsiaTheme="minorHAnsi"/>
          <w:color w:val="auto"/>
          <w:sz w:val="24"/>
          <w:szCs w:val="24"/>
          <w:lang w:eastAsia="en-US"/>
        </w:rPr>
      </w:r>
    </w:p>
    <w:p>
      <w:pPr>
        <w:ind w:firstLine="709"/>
        <w:jc w:val="both"/>
        <w:widowControl w:val="off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widowControl w:val="off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ПОСТАНОВЛЯЮ:</w:t>
      </w:r>
      <w:r>
        <w:rPr>
          <w:b/>
          <w:color w:val="auto"/>
          <w:sz w:val="24"/>
          <w:szCs w:val="24"/>
        </w:rPr>
      </w:r>
      <w:r>
        <w:rPr>
          <w:b/>
          <w:color w:val="auto"/>
          <w:sz w:val="24"/>
          <w:szCs w:val="24"/>
        </w:rPr>
      </w:r>
    </w:p>
    <w:p>
      <w:pPr>
        <w:ind w:firstLine="709"/>
        <w:jc w:val="both"/>
        <w:widowControl w:val="off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70"/>
        <w:numPr>
          <w:ilvl w:val="0"/>
          <w:numId w:val="9"/>
        </w:numPr>
        <w:ind w:left="0" w:firstLine="709"/>
        <w:jc w:val="both"/>
        <w:tabs>
          <w:tab w:val="left" w:pos="993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Внести в Порядок организации размещения нестационарных торговых объектов на территории Печенгского муниципального округа</w:t>
      </w:r>
      <w:r>
        <w:rPr>
          <w:color w:val="auto"/>
          <w:sz w:val="24"/>
          <w:szCs w:val="24"/>
        </w:rPr>
        <w:t xml:space="preserve">, утвержденный постановлением администрации Печенгского муниципального округа от 09.04.2021 № 284 (в редакции постановлений администрации Печенгского муниципального округа от 17.06.2022 № 826, от 25.01.2024 № 112) (далее – Порядок), следующие изменения: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70"/>
        <w:numPr>
          <w:ilvl w:val="1"/>
          <w:numId w:val="9"/>
        </w:numPr>
        <w:ind w:left="0" w:firstLine="709"/>
        <w:jc w:val="both"/>
        <w:tabs>
          <w:tab w:val="left" w:pos="284" w:leader="none"/>
          <w:tab w:val="left" w:pos="993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Аб</w:t>
      </w:r>
      <w:r>
        <w:rPr>
          <w:color w:val="auto"/>
          <w:sz w:val="24"/>
          <w:szCs w:val="24"/>
        </w:rPr>
        <w:t xml:space="preserve">зац четвертый пункта 1.4 раздела 1 Порядка изложить в следующей редакции: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81"/>
        <w:ind w:firstLine="540"/>
        <w:jc w:val="both"/>
        <w:spacing w:before="0" w:beforeAutospacing="0" w:after="0" w:afterAutospacing="0" w:line="288" w:lineRule="atLeast"/>
      </w:pPr>
      <w:r>
        <w:t xml:space="preserve">«- субъект розничной торговли - юридическое лицо, индивидуальный предприниматель, зарегистрированные в установленном законом порядке, осуществляющие реализацию товаров, оказание услу</w:t>
      </w:r>
      <w:r>
        <w:t xml:space="preserve">г с использованием нестационарного торгового объекта, а также физическое лицо, не являющееся индивидуальным предпринимателем и применяющее специальный налоговый режим «Налог на профессиональный доход» в течение срока проведения эксперимента, установленного</w:t>
      </w:r>
      <w:r>
        <w:t xml:space="preserve"> Федеральным законом от 27.11.2018 N 422-ФЗ «О проведении эксперимента по установлению специального налогового режима «Налог на профессиональный доход» (далее - самозанятое физическое лицо);».</w:t>
      </w:r>
      <w:r/>
    </w:p>
    <w:p>
      <w:pPr>
        <w:pStyle w:val="870"/>
        <w:numPr>
          <w:ilvl w:val="1"/>
          <w:numId w:val="9"/>
        </w:numPr>
        <w:ind w:left="0" w:firstLine="709"/>
        <w:jc w:val="both"/>
        <w:tabs>
          <w:tab w:val="left" w:pos="284" w:leader="none"/>
          <w:tab w:val="left" w:pos="993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Абзац третий подпункта 12.3.1, абзац третий подпункта 12.3.2 пу</w:t>
      </w:r>
      <w:r>
        <w:rPr>
          <w:color w:val="auto"/>
          <w:sz w:val="24"/>
          <w:szCs w:val="24"/>
        </w:rPr>
        <w:t xml:space="preserve">нкта 12.3 раздела 12 Порядка дополнить словами «, либо справку о постановке на учет физического лица в качестве налогоплательщика на профессиональный доход».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70"/>
        <w:numPr>
          <w:ilvl w:val="1"/>
          <w:numId w:val="9"/>
        </w:numPr>
        <w:ind w:left="0" w:firstLine="709"/>
        <w:jc w:val="both"/>
        <w:tabs>
          <w:tab w:val="left" w:pos="284" w:leader="none"/>
          <w:tab w:val="left" w:pos="993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Пункт 12.5 раздела 12 Порядка после слов «Индивидуальные предприниматели» дополнить словами «и сам</w:t>
      </w:r>
      <w:r>
        <w:rPr>
          <w:color w:val="auto"/>
          <w:sz w:val="24"/>
          <w:szCs w:val="24"/>
        </w:rPr>
        <w:t xml:space="preserve">озанятые физические лица».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70"/>
        <w:numPr>
          <w:ilvl w:val="1"/>
          <w:numId w:val="9"/>
        </w:numPr>
        <w:ind w:left="0" w:firstLine="709"/>
        <w:jc w:val="both"/>
        <w:tabs>
          <w:tab w:val="left" w:pos="284" w:leader="none"/>
          <w:tab w:val="left" w:pos="993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Пункт 12.8 раздела 12 Порядка изложить в следующей редакции: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72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sz w:val="24"/>
          <w:szCs w:val="24"/>
        </w:rPr>
        <w:t xml:space="preserve">«</w:t>
      </w:r>
      <w:hyperlink r:id="rId11" w:tooltip="consultantplus://offline/ref=093105C3DD5C144B6EDBE97F1130447C7A142E42E69B29AFECC19C82030175A24FDF544BA764180E7EFB37AF82AEF12E4D5962F5A1C8B7CD6001771Di2L" w:history="1">
        <w:r>
          <w:rPr>
            <w:rFonts w:ascii="Times New Roman" w:hAnsi="Times New Roman" w:cs="Times New Roman"/>
            <w:sz w:val="24"/>
            <w:szCs w:val="24"/>
          </w:rPr>
          <w:t xml:space="preserve">12.</w:t>
        </w:r>
      </w:hyperlink>
      <w:r>
        <w:rPr>
          <w:rFonts w:ascii="Times New Roman" w:hAnsi="Times New Roman" w:cs="Times New Roman"/>
          <w:sz w:val="24"/>
          <w:szCs w:val="24"/>
        </w:rPr>
        <w:t xml:space="preserve">8. Разрешения выдаются на срок, указанный в нем, но не более чем:</w:t>
      </w:r>
      <w:r>
        <w:rPr>
          <w:rFonts w:ascii="Times New Roman" w:hAnsi="Times New Roman" w:cs="Times New Roman"/>
          <w:strike/>
          <w:sz w:val="24"/>
          <w:szCs w:val="24"/>
        </w:rPr>
      </w:r>
      <w:r>
        <w:rPr>
          <w:rFonts w:ascii="Times New Roman" w:hAnsi="Times New Roman" w:cs="Times New Roman"/>
          <w:strike/>
          <w:sz w:val="24"/>
          <w:szCs w:val="24"/>
        </w:rPr>
      </w:r>
    </w:p>
    <w:p>
      <w:pPr>
        <w:pStyle w:val="87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при первоначальном обращ</w:t>
      </w:r>
      <w:r>
        <w:rPr>
          <w:rFonts w:ascii="Times New Roman" w:hAnsi="Times New Roman" w:cs="Times New Roman"/>
          <w:sz w:val="24"/>
          <w:szCs w:val="24"/>
        </w:rPr>
        <w:t xml:space="preserve">ении на размещение нестационарного торгового объекта - на срок 1 год;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при обращении за продлением Разрешения – на срок не более 5 лет (при условии деятельности нестационарного торгового объекта в течение 1 года с момента выдачи первоначального Разрешени</w:t>
      </w:r>
      <w:r>
        <w:rPr>
          <w:rFonts w:ascii="Times New Roman" w:hAnsi="Times New Roman" w:cs="Times New Roman"/>
          <w:sz w:val="24"/>
          <w:szCs w:val="24"/>
        </w:rPr>
        <w:t xml:space="preserve">я без нарушений настоящего Порядка).».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0"/>
        <w:numPr>
          <w:ilvl w:val="1"/>
          <w:numId w:val="9"/>
        </w:numPr>
        <w:ind w:left="0" w:firstLine="709"/>
        <w:jc w:val="both"/>
        <w:tabs>
          <w:tab w:val="left" w:pos="284" w:leader="none"/>
          <w:tab w:val="left" w:pos="993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Абзац второй пункта 14.3 раздела 14 Порядка после слов «предоставления документов» дополнить словами «, либо справки о постановке на учет физического лица в качестве налогоплательщика на профессиональный доход</w:t>
      </w:r>
      <w:r>
        <w:rPr>
          <w:rFonts w:eastAsiaTheme="minorHAnsi"/>
          <w:color w:val="auto"/>
          <w:sz w:val="24"/>
          <w:szCs w:val="24"/>
          <w:lang w:eastAsia="en-US"/>
        </w:rPr>
        <w:t xml:space="preserve">;».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70"/>
        <w:numPr>
          <w:ilvl w:val="1"/>
          <w:numId w:val="9"/>
        </w:numPr>
        <w:ind w:left="0" w:firstLine="709"/>
        <w:jc w:val="both"/>
        <w:tabs>
          <w:tab w:val="left" w:pos="284" w:leader="none"/>
          <w:tab w:val="left" w:pos="993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Пунк</w:t>
      </w:r>
      <w:r>
        <w:rPr>
          <w:color w:val="auto"/>
          <w:sz w:val="24"/>
          <w:szCs w:val="24"/>
        </w:rPr>
        <w:t xml:space="preserve">т 14.</w:t>
      </w:r>
      <w:r>
        <w:rPr>
          <w:color w:val="auto"/>
          <w:sz w:val="24"/>
          <w:szCs w:val="24"/>
        </w:rPr>
        <w:t xml:space="preserve">5</w:t>
      </w:r>
      <w:r>
        <w:rPr>
          <w:color w:val="auto"/>
          <w:sz w:val="24"/>
          <w:szCs w:val="24"/>
        </w:rPr>
        <w:t xml:space="preserve"> раздела 14 Порядка после слов «Индивидуальные предприниматели» дополнить словами «и самозанятые физические лица».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70"/>
        <w:numPr>
          <w:ilvl w:val="1"/>
          <w:numId w:val="9"/>
        </w:numPr>
        <w:ind w:left="0" w:firstLine="709"/>
        <w:jc w:val="both"/>
        <w:tabs>
          <w:tab w:val="left" w:pos="284" w:leader="none"/>
          <w:tab w:val="left" w:pos="993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Абзац второй пункта 15.3 раздела 15 Порядка после слов «предоставления документов» дополнить словами «</w:t>
      </w:r>
      <w:r>
        <w:rPr>
          <w:rFonts w:eastAsiaTheme="minorHAnsi"/>
          <w:color w:val="auto"/>
          <w:sz w:val="24"/>
          <w:szCs w:val="24"/>
          <w:lang w:eastAsia="en-US"/>
        </w:rPr>
        <w:t xml:space="preserve">, </w:t>
      </w:r>
      <w:r>
        <w:rPr>
          <w:color w:val="auto"/>
          <w:sz w:val="24"/>
          <w:szCs w:val="24"/>
        </w:rPr>
        <w:t xml:space="preserve">либо справки о постановке на уч</w:t>
      </w:r>
      <w:r>
        <w:rPr>
          <w:color w:val="auto"/>
          <w:sz w:val="24"/>
          <w:szCs w:val="24"/>
        </w:rPr>
        <w:t xml:space="preserve">ет физического лица в качестве налогоплательщика на профессиональный доход».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70"/>
        <w:numPr>
          <w:ilvl w:val="1"/>
          <w:numId w:val="9"/>
        </w:numPr>
        <w:ind w:left="0" w:firstLine="709"/>
        <w:jc w:val="both"/>
        <w:tabs>
          <w:tab w:val="left" w:pos="284" w:leader="none"/>
          <w:tab w:val="left" w:pos="993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Пункт 15.5 раздела 15 Порядка после слов «Индивидуальные предприниматели» дополнить словами «и самозанятые физические лица».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70"/>
        <w:numPr>
          <w:ilvl w:val="1"/>
          <w:numId w:val="9"/>
        </w:numPr>
        <w:ind w:left="0" w:firstLine="709"/>
        <w:jc w:val="both"/>
        <w:tabs>
          <w:tab w:val="left" w:pos="284" w:leader="none"/>
          <w:tab w:val="left" w:pos="993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Раздел 16 Порядка дополнить пунктом 16.3 следующего со</w:t>
      </w:r>
      <w:r>
        <w:rPr>
          <w:color w:val="auto"/>
          <w:sz w:val="24"/>
          <w:szCs w:val="24"/>
        </w:rPr>
        <w:t xml:space="preserve">держания: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70"/>
        <w:ind w:left="0" w:firstLine="709"/>
        <w:jc w:val="both"/>
        <w:tabs>
          <w:tab w:val="left" w:pos="284" w:leader="none"/>
          <w:tab w:val="left" w:pos="993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«16.3. Осуществление субъектом розничной торговли торговой деятельности без Разрешения, определенного настоящим Порядком, или с нарушением требований и условий, предусмотренных Разрешением, является основанием для привлечения субъекта розничной т</w:t>
      </w:r>
      <w:r>
        <w:rPr>
          <w:color w:val="auto"/>
          <w:sz w:val="24"/>
          <w:szCs w:val="24"/>
        </w:rPr>
        <w:t xml:space="preserve">орговли к административной ответственности за торговлю в неустановленных местах в порядке, установленном Законом Мурманской области от 06.06.2003 № 401-01-ЗМО «Об административных правонарушениях.».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70"/>
        <w:numPr>
          <w:ilvl w:val="1"/>
          <w:numId w:val="9"/>
        </w:numPr>
        <w:ind w:left="0" w:firstLine="709"/>
        <w:jc w:val="both"/>
        <w:tabs>
          <w:tab w:val="left" w:pos="284" w:leader="none"/>
          <w:tab w:val="left" w:pos="993" w:leader="none"/>
          <w:tab w:val="left" w:pos="1276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Приложения 1,2,3,4,5,6 к Порядку после слов «Ф.И.О. инди</w:t>
      </w:r>
      <w:r>
        <w:rPr>
          <w:color w:val="auto"/>
          <w:sz w:val="24"/>
          <w:szCs w:val="24"/>
        </w:rPr>
        <w:t xml:space="preserve">видуального предпринимателя» дополнить словами «,самозанятого физического лица».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70"/>
        <w:numPr>
          <w:ilvl w:val="0"/>
          <w:numId w:val="9"/>
        </w:numPr>
        <w:ind w:left="0" w:firstLine="709"/>
        <w:jc w:val="both"/>
        <w:widowControl w:val="off"/>
        <w:tabs>
          <w:tab w:val="left" w:pos="851" w:leader="none"/>
          <w:tab w:val="left" w:pos="993" w:leader="none"/>
        </w:tabs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Настоящее постановление вступает в силу после его опубликования и распространяется на правоотношения, возникшие с 01 сентября 2024 года.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70"/>
        <w:numPr>
          <w:ilvl w:val="0"/>
          <w:numId w:val="9"/>
        </w:numPr>
        <w:ind w:left="0" w:firstLine="709"/>
        <w:jc w:val="both"/>
        <w:widowControl w:val="off"/>
        <w:tabs>
          <w:tab w:val="left" w:pos="851" w:leader="none"/>
          <w:tab w:val="left" w:pos="993" w:leader="none"/>
        </w:tabs>
        <w:rPr>
          <w:b/>
          <w:color w:val="auto"/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 xml:space="preserve"> </w:t>
      </w:r>
      <w:r>
        <w:rPr>
          <w:rFonts w:eastAsia="Calibri"/>
          <w:color w:val="auto"/>
          <w:sz w:val="24"/>
          <w:szCs w:val="24"/>
        </w:rPr>
        <w:t xml:space="preserve">Настоящее постановление опубликовать в газете «Печенга» и разместить </w:t>
      </w:r>
      <w:r>
        <w:rPr>
          <w:color w:val="auto"/>
          <w:sz w:val="24"/>
          <w:szCs w:val="24"/>
        </w:rPr>
        <w:t xml:space="preserve">на официальном сайте Печенгского муниципального округа</w:t>
      </w:r>
      <w:r>
        <w:rPr>
          <w:rFonts w:eastAsia="Calibri"/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http://pechengamr.gov-murman.ru/.</w:t>
      </w:r>
      <w:r>
        <w:rPr>
          <w:b/>
          <w:color w:val="auto"/>
          <w:sz w:val="24"/>
          <w:szCs w:val="24"/>
        </w:rPr>
      </w:r>
      <w:r>
        <w:rPr>
          <w:b/>
          <w:color w:val="auto"/>
          <w:sz w:val="24"/>
          <w:szCs w:val="24"/>
        </w:rPr>
      </w:r>
    </w:p>
    <w:p>
      <w:pPr>
        <w:pStyle w:val="870"/>
        <w:ind w:left="709"/>
        <w:jc w:val="both"/>
        <w:widowControl w:val="off"/>
        <w:tabs>
          <w:tab w:val="left" w:pos="851" w:leader="none"/>
          <w:tab w:val="left" w:pos="993" w:leader="none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870"/>
        <w:ind w:left="709"/>
        <w:jc w:val="both"/>
        <w:widowControl w:val="off"/>
        <w:tabs>
          <w:tab w:val="left" w:pos="851" w:leader="none"/>
          <w:tab w:val="left" w:pos="993" w:leader="none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>
        <w:t xml:space="preserve">Орлова С.И., 63186</w:t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SimSun">
    <w:panose1 w:val="02010600030101010101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11" w:hanging="360"/>
      </w:pPr>
      <w:rPr>
        <w:rFonts w:hint="default" w:ascii="Times New Roman" w:hAnsi="Times New Roman" w:eastAsia="SimSu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5" w:hanging="106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5" w:hanging="106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0"/>
  </w:num>
  <w:num w:numId="8">
    <w:abstractNumId w:val="1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3">
    <w:name w:val="Heading 1 Char"/>
    <w:basedOn w:val="699"/>
    <w:link w:val="690"/>
    <w:uiPriority w:val="9"/>
    <w:rPr>
      <w:rFonts w:ascii="Arial" w:hAnsi="Arial" w:eastAsia="Arial" w:cs="Arial"/>
      <w:sz w:val="40"/>
      <w:szCs w:val="40"/>
    </w:rPr>
  </w:style>
  <w:style w:type="character" w:styleId="674">
    <w:name w:val="Heading 2 Char"/>
    <w:basedOn w:val="699"/>
    <w:link w:val="691"/>
    <w:uiPriority w:val="9"/>
    <w:rPr>
      <w:rFonts w:ascii="Arial" w:hAnsi="Arial" w:eastAsia="Arial" w:cs="Arial"/>
      <w:sz w:val="34"/>
    </w:rPr>
  </w:style>
  <w:style w:type="character" w:styleId="675">
    <w:name w:val="Heading 3 Char"/>
    <w:basedOn w:val="699"/>
    <w:link w:val="692"/>
    <w:uiPriority w:val="9"/>
    <w:rPr>
      <w:rFonts w:ascii="Arial" w:hAnsi="Arial" w:eastAsia="Arial" w:cs="Arial"/>
      <w:sz w:val="30"/>
      <w:szCs w:val="30"/>
    </w:rPr>
  </w:style>
  <w:style w:type="character" w:styleId="676">
    <w:name w:val="Heading 5 Char"/>
    <w:basedOn w:val="699"/>
    <w:link w:val="694"/>
    <w:uiPriority w:val="9"/>
    <w:rPr>
      <w:rFonts w:ascii="Arial" w:hAnsi="Arial" w:eastAsia="Arial" w:cs="Arial"/>
      <w:b/>
      <w:bCs/>
      <w:sz w:val="24"/>
      <w:szCs w:val="24"/>
    </w:rPr>
  </w:style>
  <w:style w:type="character" w:styleId="677">
    <w:name w:val="Heading 6 Char"/>
    <w:basedOn w:val="699"/>
    <w:link w:val="695"/>
    <w:uiPriority w:val="9"/>
    <w:rPr>
      <w:rFonts w:ascii="Arial" w:hAnsi="Arial" w:eastAsia="Arial" w:cs="Arial"/>
      <w:b/>
      <w:bCs/>
      <w:sz w:val="22"/>
      <w:szCs w:val="22"/>
    </w:rPr>
  </w:style>
  <w:style w:type="character" w:styleId="678">
    <w:name w:val="Heading 7 Char"/>
    <w:basedOn w:val="699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9">
    <w:name w:val="Heading 8 Char"/>
    <w:basedOn w:val="699"/>
    <w:link w:val="697"/>
    <w:uiPriority w:val="9"/>
    <w:rPr>
      <w:rFonts w:ascii="Arial" w:hAnsi="Arial" w:eastAsia="Arial" w:cs="Arial"/>
      <w:i/>
      <w:iCs/>
      <w:sz w:val="22"/>
      <w:szCs w:val="22"/>
    </w:rPr>
  </w:style>
  <w:style w:type="character" w:styleId="680">
    <w:name w:val="Heading 9 Char"/>
    <w:basedOn w:val="699"/>
    <w:link w:val="698"/>
    <w:uiPriority w:val="9"/>
    <w:rPr>
      <w:rFonts w:ascii="Arial" w:hAnsi="Arial" w:eastAsia="Arial" w:cs="Arial"/>
      <w:i/>
      <w:iCs/>
      <w:sz w:val="21"/>
      <w:szCs w:val="21"/>
    </w:rPr>
  </w:style>
  <w:style w:type="character" w:styleId="681">
    <w:name w:val="Title Char"/>
    <w:basedOn w:val="699"/>
    <w:link w:val="712"/>
    <w:uiPriority w:val="10"/>
    <w:rPr>
      <w:sz w:val="48"/>
      <w:szCs w:val="48"/>
    </w:rPr>
  </w:style>
  <w:style w:type="character" w:styleId="682">
    <w:name w:val="Subtitle Char"/>
    <w:basedOn w:val="699"/>
    <w:link w:val="714"/>
    <w:uiPriority w:val="11"/>
    <w:rPr>
      <w:sz w:val="24"/>
      <w:szCs w:val="24"/>
    </w:rPr>
  </w:style>
  <w:style w:type="character" w:styleId="683">
    <w:name w:val="Quote Char"/>
    <w:link w:val="716"/>
    <w:uiPriority w:val="29"/>
    <w:rPr>
      <w:i/>
    </w:rPr>
  </w:style>
  <w:style w:type="character" w:styleId="684">
    <w:name w:val="Intense Quote Char"/>
    <w:link w:val="718"/>
    <w:uiPriority w:val="30"/>
    <w:rPr>
      <w:i/>
    </w:rPr>
  </w:style>
  <w:style w:type="character" w:styleId="685">
    <w:name w:val="Header Char"/>
    <w:basedOn w:val="699"/>
    <w:link w:val="720"/>
    <w:uiPriority w:val="99"/>
  </w:style>
  <w:style w:type="character" w:styleId="686">
    <w:name w:val="Caption Char"/>
    <w:basedOn w:val="724"/>
    <w:link w:val="722"/>
    <w:uiPriority w:val="99"/>
  </w:style>
  <w:style w:type="character" w:styleId="687">
    <w:name w:val="Footnote Text Char"/>
    <w:link w:val="852"/>
    <w:uiPriority w:val="99"/>
    <w:rPr>
      <w:sz w:val="18"/>
    </w:rPr>
  </w:style>
  <w:style w:type="character" w:styleId="688">
    <w:name w:val="Endnote Text Char"/>
    <w:link w:val="855"/>
    <w:uiPriority w:val="99"/>
    <w:rPr>
      <w:sz w:val="20"/>
    </w:rPr>
  </w:style>
  <w:style w:type="paragraph" w:styleId="68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paragraph" w:styleId="690">
    <w:name w:val="Heading 1"/>
    <w:basedOn w:val="689"/>
    <w:next w:val="689"/>
    <w:link w:val="70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1">
    <w:name w:val="Heading 2"/>
    <w:basedOn w:val="689"/>
    <w:next w:val="689"/>
    <w:link w:val="70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2">
    <w:name w:val="Heading 3"/>
    <w:basedOn w:val="689"/>
    <w:next w:val="689"/>
    <w:link w:val="70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3">
    <w:name w:val="Heading 4"/>
    <w:basedOn w:val="689"/>
    <w:next w:val="689"/>
    <w:link w:val="869"/>
    <w:qFormat/>
    <w:pPr>
      <w:ind w:firstLine="709"/>
      <w:keepNext/>
      <w:outlineLvl w:val="3"/>
    </w:pPr>
    <w:rPr>
      <w:sz w:val="28"/>
    </w:rPr>
  </w:style>
  <w:style w:type="paragraph" w:styleId="694">
    <w:name w:val="Heading 5"/>
    <w:basedOn w:val="689"/>
    <w:next w:val="689"/>
    <w:link w:val="70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5">
    <w:name w:val="Heading 6"/>
    <w:basedOn w:val="689"/>
    <w:next w:val="689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6">
    <w:name w:val="Heading 7"/>
    <w:basedOn w:val="689"/>
    <w:next w:val="689"/>
    <w:link w:val="70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689"/>
    <w:next w:val="689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689"/>
    <w:next w:val="689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 w:default="1">
    <w:name w:val="Default Paragraph Font"/>
    <w:uiPriority w:val="1"/>
    <w:semiHidden/>
    <w:unhideWhenUsed/>
  </w:style>
  <w:style w:type="table" w:styleId="7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1" w:default="1">
    <w:name w:val="No List"/>
    <w:uiPriority w:val="99"/>
    <w:semiHidden/>
    <w:unhideWhenUsed/>
  </w:style>
  <w:style w:type="character" w:styleId="702" w:customStyle="1">
    <w:name w:val="Заголовок 1 Знак"/>
    <w:basedOn w:val="699"/>
    <w:link w:val="690"/>
    <w:uiPriority w:val="9"/>
    <w:rPr>
      <w:rFonts w:ascii="Arial" w:hAnsi="Arial" w:eastAsia="Arial" w:cs="Arial"/>
      <w:sz w:val="40"/>
      <w:szCs w:val="40"/>
    </w:rPr>
  </w:style>
  <w:style w:type="character" w:styleId="703" w:customStyle="1">
    <w:name w:val="Заголовок 2 Знак"/>
    <w:basedOn w:val="699"/>
    <w:link w:val="691"/>
    <w:uiPriority w:val="9"/>
    <w:rPr>
      <w:rFonts w:ascii="Arial" w:hAnsi="Arial" w:eastAsia="Arial" w:cs="Arial"/>
      <w:sz w:val="34"/>
    </w:rPr>
  </w:style>
  <w:style w:type="character" w:styleId="704" w:customStyle="1">
    <w:name w:val="Заголовок 3 Знак"/>
    <w:basedOn w:val="699"/>
    <w:link w:val="692"/>
    <w:uiPriority w:val="9"/>
    <w:rPr>
      <w:rFonts w:ascii="Arial" w:hAnsi="Arial" w:eastAsia="Arial" w:cs="Arial"/>
      <w:sz w:val="30"/>
      <w:szCs w:val="30"/>
    </w:rPr>
  </w:style>
  <w:style w:type="character" w:styleId="705" w:customStyle="1">
    <w:name w:val="Heading 4 Char"/>
    <w:basedOn w:val="699"/>
    <w:uiPriority w:val="9"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Заголовок 5 Знак"/>
    <w:basedOn w:val="699"/>
    <w:link w:val="694"/>
    <w:uiPriority w:val="9"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Заголовок 6 Знак"/>
    <w:basedOn w:val="699"/>
    <w:link w:val="695"/>
    <w:uiPriority w:val="9"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Заголовок 7 Знак"/>
    <w:basedOn w:val="699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Заголовок 8 Знак"/>
    <w:basedOn w:val="699"/>
    <w:link w:val="697"/>
    <w:uiPriority w:val="9"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Заголовок 9 Знак"/>
    <w:basedOn w:val="699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No Spacing"/>
    <w:uiPriority w:val="1"/>
    <w:qFormat/>
    <w:pPr>
      <w:spacing w:after="0" w:line="240" w:lineRule="auto"/>
    </w:pPr>
  </w:style>
  <w:style w:type="paragraph" w:styleId="712">
    <w:name w:val="Title"/>
    <w:basedOn w:val="689"/>
    <w:next w:val="689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 w:customStyle="1">
    <w:name w:val="Название Знак"/>
    <w:basedOn w:val="699"/>
    <w:link w:val="712"/>
    <w:uiPriority w:val="10"/>
    <w:rPr>
      <w:sz w:val="48"/>
      <w:szCs w:val="48"/>
    </w:rPr>
  </w:style>
  <w:style w:type="paragraph" w:styleId="714">
    <w:name w:val="Subtitle"/>
    <w:basedOn w:val="689"/>
    <w:next w:val="689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 w:customStyle="1">
    <w:name w:val="Подзаголовок Знак"/>
    <w:basedOn w:val="699"/>
    <w:link w:val="714"/>
    <w:uiPriority w:val="11"/>
    <w:rPr>
      <w:sz w:val="24"/>
      <w:szCs w:val="24"/>
    </w:rPr>
  </w:style>
  <w:style w:type="paragraph" w:styleId="716">
    <w:name w:val="Quote"/>
    <w:basedOn w:val="689"/>
    <w:next w:val="689"/>
    <w:link w:val="717"/>
    <w:uiPriority w:val="29"/>
    <w:qFormat/>
    <w:pPr>
      <w:ind w:left="720" w:right="720"/>
    </w:pPr>
    <w:rPr>
      <w:i/>
    </w:rPr>
  </w:style>
  <w:style w:type="character" w:styleId="717" w:customStyle="1">
    <w:name w:val="Цитата 2 Знак"/>
    <w:link w:val="716"/>
    <w:uiPriority w:val="29"/>
    <w:rPr>
      <w:i/>
    </w:rPr>
  </w:style>
  <w:style w:type="paragraph" w:styleId="718">
    <w:name w:val="Intense Quote"/>
    <w:basedOn w:val="689"/>
    <w:next w:val="689"/>
    <w:link w:val="71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 w:customStyle="1">
    <w:name w:val="Выделенная цитата Знак"/>
    <w:link w:val="718"/>
    <w:uiPriority w:val="30"/>
    <w:rPr>
      <w:i/>
    </w:rPr>
  </w:style>
  <w:style w:type="paragraph" w:styleId="720">
    <w:name w:val="Header"/>
    <w:basedOn w:val="689"/>
    <w:link w:val="72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21" w:customStyle="1">
    <w:name w:val="Верхний колонтитул Знак"/>
    <w:basedOn w:val="699"/>
    <w:link w:val="720"/>
    <w:uiPriority w:val="99"/>
  </w:style>
  <w:style w:type="paragraph" w:styleId="722">
    <w:name w:val="Footer"/>
    <w:basedOn w:val="689"/>
    <w:link w:val="725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23" w:customStyle="1">
    <w:name w:val="Footer Char"/>
    <w:basedOn w:val="699"/>
    <w:uiPriority w:val="99"/>
  </w:style>
  <w:style w:type="paragraph" w:styleId="724">
    <w:name w:val="Caption"/>
    <w:basedOn w:val="689"/>
    <w:next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 w:customStyle="1">
    <w:name w:val="Нижний колонтитул Знак"/>
    <w:link w:val="722"/>
    <w:uiPriority w:val="99"/>
  </w:style>
  <w:style w:type="table" w:styleId="726">
    <w:name w:val="Table Grid"/>
    <w:basedOn w:val="70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27" w:customStyle="1">
    <w:name w:val="Table Grid Light"/>
    <w:basedOn w:val="70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8">
    <w:name w:val="Plain Table 1"/>
    <w:basedOn w:val="70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basedOn w:val="70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 w:customStyle="1">
    <w:name w:val="Grid Table 4 - Accent 1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6" w:customStyle="1">
    <w:name w:val="Grid Table 4 - Accent 2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7" w:customStyle="1">
    <w:name w:val="Grid Table 4 - Accent 3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8" w:customStyle="1">
    <w:name w:val="Grid Table 4 - Accent 4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9" w:customStyle="1">
    <w:name w:val="Grid Table 4 - Accent 5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0" w:customStyle="1">
    <w:name w:val="Grid Table 4 - Accent 6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1">
    <w:name w:val="Grid Table 5 Dark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8">
    <w:name w:val="Grid Table 6 Colorful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9" w:customStyle="1">
    <w:name w:val="Grid Table 6 Colorful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0" w:customStyle="1">
    <w:name w:val="Grid Table 6 Colorful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1" w:customStyle="1">
    <w:name w:val="Grid Table 6 Colorful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2" w:customStyle="1">
    <w:name w:val="Grid Table 6 Colorful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3" w:customStyle="1">
    <w:name w:val="Grid Table 6 Colorful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4" w:customStyle="1">
    <w:name w:val="Grid Table 6 Colorful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5">
    <w:name w:val="Grid Table 7 Colorful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6" w:customStyle="1">
    <w:name w:val="Grid Table 7 Colorful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7" w:customStyle="1">
    <w:name w:val="Grid Table 7 Colorful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 w:customStyle="1">
    <w:name w:val="Grid Table 7 Colorful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Grid Table 7 Colorful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1" w:customStyle="1">
    <w:name w:val="Grid Table 7 Colorful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2">
    <w:name w:val="List Table 1 Light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1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2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3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4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5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6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>
    <w:name w:val="List Table 6 Colorful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8" w:customStyle="1">
    <w:name w:val="List Table 6 Colorful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9" w:customStyle="1">
    <w:name w:val="List Table 6 Colorful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0" w:customStyle="1">
    <w:name w:val="List Table 6 Colorful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1" w:customStyle="1">
    <w:name w:val="List Table 6 Colorful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2" w:customStyle="1">
    <w:name w:val="List Table 6 Colorful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3" w:customStyle="1">
    <w:name w:val="List Table 6 Colorful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4">
    <w:name w:val="List Table 7 Colorful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List Table 7 Colorful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List Table 7 Colorful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st Table 7 Colorful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st Table 7 Colorful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List Table 7 Colorful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Lined - Accent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2" w:customStyle="1">
    <w:name w:val="Lined - Accent 1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3" w:customStyle="1">
    <w:name w:val="Lined - Accent 2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4" w:customStyle="1">
    <w:name w:val="Lined - Accent 3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5" w:customStyle="1">
    <w:name w:val="Lined - Accent 4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6" w:customStyle="1">
    <w:name w:val="Lined - Accent 5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7" w:customStyle="1">
    <w:name w:val="Lined - Accent 6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8" w:customStyle="1">
    <w:name w:val="Bordered &amp; Lined - Accent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9" w:customStyle="1">
    <w:name w:val="Bordered &amp; Lined - Accent 1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0" w:customStyle="1">
    <w:name w:val="Bordered &amp; Lined - Accent 2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1" w:customStyle="1">
    <w:name w:val="Bordered &amp; Lined - Accent 3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2" w:customStyle="1">
    <w:name w:val="Bordered &amp; Lined - Accent 4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3" w:customStyle="1">
    <w:name w:val="Bordered &amp; Lined - Accent 5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4" w:customStyle="1">
    <w:name w:val="Bordered &amp; Lined - Accent 6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5" w:customStyle="1">
    <w:name w:val="Bordered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6" w:customStyle="1">
    <w:name w:val="Bordered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7" w:customStyle="1">
    <w:name w:val="Bordered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8" w:customStyle="1">
    <w:name w:val="Bordered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9" w:customStyle="1">
    <w:name w:val="Bordered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0" w:customStyle="1">
    <w:name w:val="Bordered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1" w:customStyle="1">
    <w:name w:val="Bordered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52">
    <w:name w:val="footnote text"/>
    <w:basedOn w:val="689"/>
    <w:link w:val="853"/>
    <w:uiPriority w:val="99"/>
    <w:semiHidden/>
    <w:unhideWhenUsed/>
    <w:pPr>
      <w:spacing w:after="40"/>
    </w:pPr>
    <w:rPr>
      <w:sz w:val="18"/>
    </w:rPr>
  </w:style>
  <w:style w:type="character" w:styleId="853" w:customStyle="1">
    <w:name w:val="Текст сноски Знак"/>
    <w:link w:val="852"/>
    <w:uiPriority w:val="99"/>
    <w:rPr>
      <w:sz w:val="18"/>
    </w:rPr>
  </w:style>
  <w:style w:type="character" w:styleId="854">
    <w:name w:val="footnote reference"/>
    <w:basedOn w:val="699"/>
    <w:uiPriority w:val="99"/>
    <w:unhideWhenUsed/>
    <w:rPr>
      <w:vertAlign w:val="superscript"/>
    </w:rPr>
  </w:style>
  <w:style w:type="paragraph" w:styleId="855">
    <w:name w:val="endnote text"/>
    <w:basedOn w:val="689"/>
    <w:link w:val="856"/>
    <w:uiPriority w:val="99"/>
    <w:semiHidden/>
    <w:unhideWhenUsed/>
  </w:style>
  <w:style w:type="character" w:styleId="856" w:customStyle="1">
    <w:name w:val="Текст концевой сноски Знак"/>
    <w:link w:val="855"/>
    <w:uiPriority w:val="99"/>
    <w:rPr>
      <w:sz w:val="20"/>
    </w:rPr>
  </w:style>
  <w:style w:type="character" w:styleId="857">
    <w:name w:val="endnote reference"/>
    <w:basedOn w:val="699"/>
    <w:uiPriority w:val="99"/>
    <w:semiHidden/>
    <w:unhideWhenUsed/>
    <w:rPr>
      <w:vertAlign w:val="superscript"/>
    </w:rPr>
  </w:style>
  <w:style w:type="paragraph" w:styleId="858">
    <w:name w:val="toc 1"/>
    <w:basedOn w:val="689"/>
    <w:next w:val="689"/>
    <w:uiPriority w:val="39"/>
    <w:unhideWhenUsed/>
    <w:pPr>
      <w:spacing w:after="57"/>
    </w:pPr>
  </w:style>
  <w:style w:type="paragraph" w:styleId="859">
    <w:name w:val="toc 2"/>
    <w:basedOn w:val="689"/>
    <w:next w:val="689"/>
    <w:uiPriority w:val="39"/>
    <w:unhideWhenUsed/>
    <w:pPr>
      <w:ind w:left="283"/>
      <w:spacing w:after="57"/>
    </w:pPr>
  </w:style>
  <w:style w:type="paragraph" w:styleId="860">
    <w:name w:val="toc 3"/>
    <w:basedOn w:val="689"/>
    <w:next w:val="689"/>
    <w:uiPriority w:val="39"/>
    <w:unhideWhenUsed/>
    <w:pPr>
      <w:ind w:left="567"/>
      <w:spacing w:after="57"/>
    </w:pPr>
  </w:style>
  <w:style w:type="paragraph" w:styleId="861">
    <w:name w:val="toc 4"/>
    <w:basedOn w:val="689"/>
    <w:next w:val="689"/>
    <w:uiPriority w:val="39"/>
    <w:unhideWhenUsed/>
    <w:pPr>
      <w:ind w:left="850"/>
      <w:spacing w:after="57"/>
    </w:pPr>
  </w:style>
  <w:style w:type="paragraph" w:styleId="862">
    <w:name w:val="toc 5"/>
    <w:basedOn w:val="689"/>
    <w:next w:val="689"/>
    <w:uiPriority w:val="39"/>
    <w:unhideWhenUsed/>
    <w:pPr>
      <w:ind w:left="1134"/>
      <w:spacing w:after="57"/>
    </w:pPr>
  </w:style>
  <w:style w:type="paragraph" w:styleId="863">
    <w:name w:val="toc 6"/>
    <w:basedOn w:val="689"/>
    <w:next w:val="689"/>
    <w:uiPriority w:val="39"/>
    <w:unhideWhenUsed/>
    <w:pPr>
      <w:ind w:left="1417"/>
      <w:spacing w:after="57"/>
    </w:pPr>
  </w:style>
  <w:style w:type="paragraph" w:styleId="864">
    <w:name w:val="toc 7"/>
    <w:basedOn w:val="689"/>
    <w:next w:val="689"/>
    <w:uiPriority w:val="39"/>
    <w:unhideWhenUsed/>
    <w:pPr>
      <w:ind w:left="1701"/>
      <w:spacing w:after="57"/>
    </w:pPr>
  </w:style>
  <w:style w:type="paragraph" w:styleId="865">
    <w:name w:val="toc 8"/>
    <w:basedOn w:val="689"/>
    <w:next w:val="689"/>
    <w:uiPriority w:val="39"/>
    <w:unhideWhenUsed/>
    <w:pPr>
      <w:ind w:left="1984"/>
      <w:spacing w:after="57"/>
    </w:pPr>
  </w:style>
  <w:style w:type="paragraph" w:styleId="866">
    <w:name w:val="toc 9"/>
    <w:basedOn w:val="689"/>
    <w:next w:val="689"/>
    <w:uiPriority w:val="39"/>
    <w:unhideWhenUsed/>
    <w:pPr>
      <w:ind w:left="2268"/>
      <w:spacing w:after="57"/>
    </w:pPr>
  </w:style>
  <w:style w:type="paragraph" w:styleId="867">
    <w:name w:val="TOC Heading"/>
    <w:uiPriority w:val="39"/>
    <w:unhideWhenUsed/>
  </w:style>
  <w:style w:type="paragraph" w:styleId="868">
    <w:name w:val="table of figures"/>
    <w:basedOn w:val="689"/>
    <w:next w:val="689"/>
    <w:uiPriority w:val="99"/>
    <w:unhideWhenUsed/>
  </w:style>
  <w:style w:type="character" w:styleId="869" w:customStyle="1">
    <w:name w:val="Заголовок 4 Знак"/>
    <w:basedOn w:val="699"/>
    <w:link w:val="693"/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paragraph" w:styleId="870">
    <w:name w:val="List Paragraph"/>
    <w:basedOn w:val="689"/>
    <w:uiPriority w:val="34"/>
    <w:qFormat/>
    <w:pPr>
      <w:contextualSpacing/>
      <w:ind w:left="720"/>
    </w:pPr>
  </w:style>
  <w:style w:type="character" w:styleId="871">
    <w:name w:val="Hyperlink"/>
    <w:basedOn w:val="699"/>
    <w:uiPriority w:val="99"/>
    <w:unhideWhenUsed/>
    <w:rPr>
      <w:color w:val="0000ff" w:themeColor="hyperlink"/>
      <w:u w:val="single"/>
    </w:rPr>
  </w:style>
  <w:style w:type="paragraph" w:styleId="872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73">
    <w:name w:val="Body Text"/>
    <w:basedOn w:val="689"/>
    <w:link w:val="874"/>
    <w:pPr>
      <w:spacing w:after="120"/>
      <w:widowControl w:val="off"/>
    </w:pPr>
    <w:rPr>
      <w:color w:val="auto"/>
    </w:rPr>
  </w:style>
  <w:style w:type="character" w:styleId="874" w:customStyle="1">
    <w:name w:val="Основной текст Знак"/>
    <w:basedOn w:val="699"/>
    <w:link w:val="873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75">
    <w:name w:val="Body Text 3"/>
    <w:basedOn w:val="689"/>
    <w:link w:val="876"/>
    <w:uiPriority w:val="99"/>
    <w:semiHidden/>
    <w:unhideWhenUsed/>
    <w:pPr>
      <w:spacing w:after="120" w:line="276" w:lineRule="auto"/>
    </w:pPr>
    <w:rPr>
      <w:rFonts w:asciiTheme="minorHAnsi" w:hAnsiTheme="minorHAnsi" w:eastAsiaTheme="minorHAnsi" w:cstheme="minorBidi"/>
      <w:color w:val="auto"/>
      <w:sz w:val="16"/>
      <w:szCs w:val="16"/>
      <w:lang w:eastAsia="en-US"/>
    </w:rPr>
  </w:style>
  <w:style w:type="character" w:styleId="876" w:customStyle="1">
    <w:name w:val="Основной текст 3 Знак"/>
    <w:basedOn w:val="699"/>
    <w:link w:val="875"/>
    <w:uiPriority w:val="99"/>
    <w:semiHidden/>
    <w:rPr>
      <w:sz w:val="16"/>
      <w:szCs w:val="16"/>
    </w:rPr>
  </w:style>
  <w:style w:type="paragraph" w:styleId="877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878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79">
    <w:name w:val="Balloon Text"/>
    <w:basedOn w:val="689"/>
    <w:link w:val="880"/>
    <w:uiPriority w:val="99"/>
    <w:semiHidden/>
    <w:unhideWhenUsed/>
    <w:rPr>
      <w:rFonts w:ascii="Tahoma" w:hAnsi="Tahoma" w:cs="Tahoma"/>
      <w:sz w:val="16"/>
      <w:szCs w:val="16"/>
    </w:rPr>
  </w:style>
  <w:style w:type="character" w:styleId="880" w:customStyle="1">
    <w:name w:val="Текст выноски Знак"/>
    <w:basedOn w:val="699"/>
    <w:link w:val="879"/>
    <w:uiPriority w:val="99"/>
    <w:semiHidden/>
    <w:rPr>
      <w:rFonts w:ascii="Tahoma" w:hAnsi="Tahoma" w:eastAsia="Times New Roman" w:cs="Tahoma"/>
      <w:color w:val="000000"/>
      <w:sz w:val="16"/>
      <w:szCs w:val="16"/>
      <w:lang w:eastAsia="ru-RU"/>
    </w:rPr>
  </w:style>
  <w:style w:type="paragraph" w:styleId="881">
    <w:name w:val="Normal (Web)"/>
    <w:basedOn w:val="689"/>
    <w:uiPriority w:val="99"/>
    <w:unhideWhenUsed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882" w:customStyle="1">
    <w:name w:val="Unresolved Mention"/>
    <w:basedOn w:val="699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consultantplus://offline/ref=093105C3DD5C144B6EDBE97F1130447C7A142E42E69B29AFECC19C82030175A24FDF544BA764180E7EFB37AF82AEF12E4D5962F5A1C8B7CD6001771Di2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B9F66-4786-4B94-9D9A-633E1BCD4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revision>217</cp:revision>
  <dcterms:created xsi:type="dcterms:W3CDTF">2022-06-17T10:05:00Z</dcterms:created>
  <dcterms:modified xsi:type="dcterms:W3CDTF">2024-09-18T07:46:44Z</dcterms:modified>
</cp:coreProperties>
</file>